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56DD" w14:textId="77777777" w:rsidR="0096294E" w:rsidRDefault="00FD65E7">
      <w:pPr>
        <w:spacing w:after="40"/>
        <w:jc w:val="center"/>
      </w:pPr>
      <w:r>
        <w:rPr>
          <w:rFonts w:ascii="Calibri" w:eastAsia="Calibri" w:hAnsi="Calibri" w:cs="Calibri"/>
          <w:b/>
          <w:bCs/>
          <w:sz w:val="28"/>
          <w:szCs w:val="28"/>
        </w:rPr>
        <w:t>WHEATLAND SCHOOL DISTRICT</w:t>
      </w:r>
    </w:p>
    <w:p w14:paraId="31A81F6C" w14:textId="77777777" w:rsidR="0096294E" w:rsidRDefault="00FD65E7">
      <w:pPr>
        <w:spacing w:after="60"/>
        <w:jc w:val="center"/>
      </w:pPr>
      <w:r>
        <w:rPr>
          <w:rFonts w:ascii="Calibri" w:eastAsia="Calibri" w:hAnsi="Calibri" w:cs="Calibri"/>
          <w:color w:val="555555"/>
        </w:rPr>
        <w:t>Board Policies &amp; Administrative Regulations</w:t>
      </w:r>
    </w:p>
    <w:tbl>
      <w:tblPr>
        <w:tblW w:w="10440"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CellMar>
          <w:left w:w="10" w:type="dxa"/>
          <w:right w:w="10" w:type="dxa"/>
        </w:tblCellMar>
        <w:tblLook w:val="0000" w:firstRow="0" w:lastRow="0" w:firstColumn="0" w:lastColumn="0" w:noHBand="0" w:noVBand="0"/>
      </w:tblPr>
      <w:tblGrid>
        <w:gridCol w:w="3200"/>
        <w:gridCol w:w="7240"/>
      </w:tblGrid>
      <w:tr w:rsidR="0096294E" w14:paraId="6DCC5CC9" w14:textId="77777777">
        <w:tc>
          <w:tcPr>
            <w:tcW w:w="3200" w:type="dxa"/>
            <w:shd w:val="clear" w:color="auto" w:fill="1F4E79"/>
            <w:tcMar>
              <w:top w:w="100" w:type="dxa"/>
              <w:left w:w="120" w:type="dxa"/>
              <w:bottom w:w="100" w:type="dxa"/>
              <w:right w:w="120" w:type="dxa"/>
            </w:tcMar>
          </w:tcPr>
          <w:p w14:paraId="19CA427C" w14:textId="77777777" w:rsidR="0096294E" w:rsidRDefault="00FD65E7">
            <w:r>
              <w:rPr>
                <w:rFonts w:ascii="Calibri" w:eastAsia="Calibri" w:hAnsi="Calibri" w:cs="Calibri"/>
                <w:b/>
                <w:bCs/>
                <w:color w:val="FFFFFF"/>
                <w:sz w:val="24"/>
                <w:szCs w:val="24"/>
              </w:rPr>
              <w:t>Policy 5-203</w:t>
            </w:r>
          </w:p>
        </w:tc>
        <w:tc>
          <w:tcPr>
            <w:tcW w:w="7240" w:type="dxa"/>
            <w:tcMar>
              <w:top w:w="100" w:type="dxa"/>
              <w:left w:w="120" w:type="dxa"/>
              <w:bottom w:w="100" w:type="dxa"/>
              <w:right w:w="120" w:type="dxa"/>
            </w:tcMar>
          </w:tcPr>
          <w:p w14:paraId="7F655720" w14:textId="77777777" w:rsidR="0096294E" w:rsidRDefault="00FD65E7">
            <w:r>
              <w:rPr>
                <w:rFonts w:ascii="Calibri" w:eastAsia="Calibri" w:hAnsi="Calibri" w:cs="Calibri"/>
                <w:b/>
                <w:bCs/>
                <w:sz w:val="24"/>
                <w:szCs w:val="24"/>
              </w:rPr>
              <w:t>Substitute Employee Paid Sick Leave</w:t>
            </w:r>
          </w:p>
        </w:tc>
      </w:tr>
      <w:tr w:rsidR="0096294E" w14:paraId="10942C56" w14:textId="77777777">
        <w:tc>
          <w:tcPr>
            <w:tcW w:w="3200" w:type="dxa"/>
            <w:tcMar>
              <w:top w:w="80" w:type="dxa"/>
              <w:left w:w="120" w:type="dxa"/>
              <w:bottom w:w="80" w:type="dxa"/>
              <w:right w:w="120" w:type="dxa"/>
            </w:tcMar>
          </w:tcPr>
          <w:p w14:paraId="54107617" w14:textId="77777777" w:rsidR="0096294E" w:rsidRDefault="00FD65E7">
            <w:r>
              <w:rPr>
                <w:rFonts w:ascii="Calibri" w:eastAsia="Calibri" w:hAnsi="Calibri" w:cs="Calibri"/>
                <w:b/>
                <w:bCs/>
                <w:color w:val="555555"/>
                <w:sz w:val="18"/>
                <w:szCs w:val="18"/>
              </w:rPr>
              <w:t>Category</w:t>
            </w:r>
          </w:p>
        </w:tc>
        <w:tc>
          <w:tcPr>
            <w:tcW w:w="7240" w:type="dxa"/>
            <w:tcMar>
              <w:top w:w="80" w:type="dxa"/>
              <w:left w:w="120" w:type="dxa"/>
              <w:bottom w:w="80" w:type="dxa"/>
              <w:right w:w="120" w:type="dxa"/>
            </w:tcMar>
          </w:tcPr>
          <w:p w14:paraId="168F3FED" w14:textId="77777777" w:rsidR="0096294E" w:rsidRDefault="00FD65E7">
            <w:r>
              <w:rPr>
                <w:rFonts w:ascii="Calibri" w:eastAsia="Calibri" w:hAnsi="Calibri" w:cs="Calibri"/>
                <w:sz w:val="18"/>
                <w:szCs w:val="18"/>
              </w:rPr>
              <w:t>Educators and Classified Staff – Leaves of Absence</w:t>
            </w:r>
          </w:p>
        </w:tc>
      </w:tr>
      <w:tr w:rsidR="0096294E" w14:paraId="36A3D887" w14:textId="77777777">
        <w:tc>
          <w:tcPr>
            <w:tcW w:w="3200" w:type="dxa"/>
            <w:tcMar>
              <w:top w:w="80" w:type="dxa"/>
              <w:left w:w="120" w:type="dxa"/>
              <w:bottom w:w="80" w:type="dxa"/>
              <w:right w:w="120" w:type="dxa"/>
            </w:tcMar>
          </w:tcPr>
          <w:p w14:paraId="1F758C6D" w14:textId="77777777" w:rsidR="0096294E" w:rsidRDefault="00FD65E7">
            <w:r>
              <w:rPr>
                <w:rFonts w:ascii="Calibri" w:eastAsia="Calibri" w:hAnsi="Calibri" w:cs="Calibri"/>
                <w:b/>
                <w:bCs/>
                <w:color w:val="555555"/>
                <w:sz w:val="18"/>
                <w:szCs w:val="18"/>
              </w:rPr>
              <w:t>Related Policies</w:t>
            </w:r>
          </w:p>
        </w:tc>
        <w:tc>
          <w:tcPr>
            <w:tcW w:w="7240" w:type="dxa"/>
            <w:tcMar>
              <w:top w:w="80" w:type="dxa"/>
              <w:left w:w="120" w:type="dxa"/>
              <w:bottom w:w="80" w:type="dxa"/>
              <w:right w:w="120" w:type="dxa"/>
            </w:tcMar>
          </w:tcPr>
          <w:p w14:paraId="7B98F960" w14:textId="77777777" w:rsidR="0096294E" w:rsidRDefault="00FD65E7">
            <w:r>
              <w:rPr>
                <w:rFonts w:ascii="Calibri" w:eastAsia="Calibri" w:hAnsi="Calibri" w:cs="Calibri"/>
                <w:sz w:val="18"/>
                <w:szCs w:val="18"/>
              </w:rPr>
              <w:t>Policy 5-201 Employee Leaves of Absence; Policy 5-202 Industrial Accident and Illness Leave; Policy 5-102 Exemptions from Classified Service (Substitutes, Etc.)</w:t>
            </w:r>
          </w:p>
        </w:tc>
      </w:tr>
    </w:tbl>
    <w:p w14:paraId="46B6883D" w14:textId="77777777" w:rsidR="0096294E" w:rsidRDefault="00FD65E7">
      <w:pPr>
        <w:pBdr>
          <w:bottom w:val="single" w:sz="6" w:space="4" w:color="999999"/>
        </w:pBdr>
        <w:spacing w:before="200" w:after="200"/>
      </w:pPr>
      <w:r>
        <w:rPr>
          <w:rFonts w:ascii="Calibri" w:eastAsia="Calibri" w:hAnsi="Calibri" w:cs="Calibri"/>
          <w:b/>
          <w:bCs/>
        </w:rPr>
        <w:t xml:space="preserve">Legal Reference: </w:t>
      </w:r>
      <w:r>
        <w:rPr>
          <w:rFonts w:ascii="Calibri" w:eastAsia="Calibri" w:hAnsi="Calibri" w:cs="Calibri"/>
          <w:i/>
          <w:iCs/>
        </w:rPr>
        <w:t>California Labor Code §§ 245–249, Healthy Workplaces, Healthy Families Act of 2014, as amended (“HWHFA”)</w:t>
      </w:r>
    </w:p>
    <w:p w14:paraId="639553CA" w14:textId="77777777" w:rsidR="0096294E" w:rsidRDefault="00FD65E7">
      <w:pPr>
        <w:pStyle w:val="Heading1"/>
        <w:spacing w:before="300" w:after="160"/>
      </w:pPr>
      <w:r>
        <w:rPr>
          <w:rFonts w:ascii="Calibri" w:eastAsia="Calibri" w:hAnsi="Calibri" w:cs="Calibri"/>
          <w:b/>
          <w:bCs/>
        </w:rPr>
        <w:t>1. Purpose</w:t>
      </w:r>
    </w:p>
    <w:p w14:paraId="72BC5F18" w14:textId="77777777" w:rsidR="0096294E" w:rsidRDefault="00FD65E7">
      <w:pPr>
        <w:spacing w:after="160"/>
      </w:pPr>
      <w:r>
        <w:rPr>
          <w:rFonts w:ascii="Calibri" w:eastAsia="Calibri" w:hAnsi="Calibri" w:cs="Calibri"/>
          <w:sz w:val="22"/>
          <w:szCs w:val="22"/>
        </w:rPr>
        <w:t xml:space="preserve">This policy establishes the procedure by which substitute teachers and other substitute employees of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may request and use paid sick leave, consistent with the minimum requirements of California’s Healthy Workplaces, Healthy Families Act (Labor Code §§ 245–249). This policy governs the </w:t>
      </w:r>
      <w:proofErr w:type="gramStart"/>
      <w:r>
        <w:rPr>
          <w:rFonts w:ascii="Calibri" w:eastAsia="Calibri" w:hAnsi="Calibri" w:cs="Calibri"/>
          <w:sz w:val="22"/>
          <w:szCs w:val="22"/>
        </w:rPr>
        <w:t>District’s</w:t>
      </w:r>
      <w:proofErr w:type="gramEnd"/>
      <w:r>
        <w:rPr>
          <w:rFonts w:ascii="Calibri" w:eastAsia="Calibri" w:hAnsi="Calibri" w:cs="Calibri"/>
          <w:sz w:val="22"/>
          <w:szCs w:val="22"/>
        </w:rPr>
        <w:t xml:space="preserve"> administrative process for requesting and documenting paid sick leave; it does not reduce or restrict any right or benefit provided under state law.</w:t>
      </w:r>
    </w:p>
    <w:p w14:paraId="3F991F71" w14:textId="77777777" w:rsidR="0096294E" w:rsidRDefault="00FD65E7">
      <w:pPr>
        <w:pStyle w:val="Heading1"/>
        <w:spacing w:before="300" w:after="160"/>
      </w:pPr>
      <w:r>
        <w:rPr>
          <w:rFonts w:ascii="Calibri" w:eastAsia="Calibri" w:hAnsi="Calibri" w:cs="Calibri"/>
          <w:b/>
          <w:bCs/>
        </w:rPr>
        <w:t>2. Eligibility</w:t>
      </w:r>
    </w:p>
    <w:p w14:paraId="7058187A" w14:textId="77777777" w:rsidR="0096294E" w:rsidRDefault="00FD65E7">
      <w:pPr>
        <w:spacing w:after="160"/>
      </w:pPr>
      <w:r>
        <w:rPr>
          <w:rFonts w:ascii="Calibri" w:eastAsia="Calibri" w:hAnsi="Calibri" w:cs="Calibri"/>
          <w:sz w:val="22"/>
          <w:szCs w:val="22"/>
        </w:rPr>
        <w:t>A substitute employee is eligible for paid sick leave under this policy once the employee has:</w:t>
      </w:r>
    </w:p>
    <w:p w14:paraId="7EAFE5C5" w14:textId="77777777" w:rsidR="0096294E" w:rsidRDefault="00FD65E7">
      <w:pPr>
        <w:pStyle w:val="ListParagraph"/>
        <w:numPr>
          <w:ilvl w:val="0"/>
          <w:numId w:val="2"/>
        </w:numPr>
        <w:spacing w:after="120"/>
      </w:pPr>
      <w:r>
        <w:rPr>
          <w:rFonts w:ascii="Calibri" w:eastAsia="Calibri" w:hAnsi="Calibri" w:cs="Calibri"/>
          <w:sz w:val="22"/>
          <w:szCs w:val="22"/>
        </w:rPr>
        <w:t>Worked for the District for at least 30 days within a 12-month period, and</w:t>
      </w:r>
    </w:p>
    <w:p w14:paraId="3D0EB4AC" w14:textId="77777777" w:rsidR="0096294E" w:rsidRDefault="00FD65E7">
      <w:pPr>
        <w:pStyle w:val="ListParagraph"/>
        <w:numPr>
          <w:ilvl w:val="0"/>
          <w:numId w:val="2"/>
        </w:numPr>
        <w:spacing w:after="120"/>
      </w:pPr>
      <w:r>
        <w:rPr>
          <w:rFonts w:ascii="Calibri" w:eastAsia="Calibri" w:hAnsi="Calibri" w:cs="Calibri"/>
          <w:sz w:val="22"/>
          <w:szCs w:val="22"/>
        </w:rPr>
        <w:t xml:space="preserve">Completed a 90-day employment period with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as measured from the substitute's first day of work.</w:t>
      </w:r>
    </w:p>
    <w:p w14:paraId="7835F8EE" w14:textId="77777777" w:rsidR="0096294E" w:rsidRDefault="00FD65E7">
      <w:pPr>
        <w:spacing w:after="160"/>
      </w:pPr>
      <w:r>
        <w:rPr>
          <w:rFonts w:ascii="Calibri" w:eastAsia="Calibri" w:hAnsi="Calibri" w:cs="Calibri"/>
          <w:sz w:val="22"/>
          <w:szCs w:val="22"/>
        </w:rPr>
        <w:t xml:space="preserve">Eligible substitute employees accrue and/or receive paid sick leave in accordance with Section 3 below, regardless of full-time, part-time, </w:t>
      </w:r>
      <w:proofErr w:type="gramStart"/>
      <w:r>
        <w:rPr>
          <w:rFonts w:ascii="Calibri" w:eastAsia="Calibri" w:hAnsi="Calibri" w:cs="Calibri"/>
          <w:sz w:val="22"/>
          <w:szCs w:val="22"/>
        </w:rPr>
        <w:t>per</w:t>
      </w:r>
      <w:proofErr w:type="gramEnd"/>
      <w:r>
        <w:rPr>
          <w:rFonts w:ascii="Calibri" w:eastAsia="Calibri" w:hAnsi="Calibri" w:cs="Calibri"/>
          <w:sz w:val="22"/>
          <w:szCs w:val="22"/>
        </w:rPr>
        <w:t xml:space="preserve"> diem, or on-call status.</w:t>
      </w:r>
    </w:p>
    <w:p w14:paraId="499BC97B" w14:textId="77777777" w:rsidR="0096294E" w:rsidRDefault="00FD65E7">
      <w:pPr>
        <w:pStyle w:val="Heading1"/>
        <w:spacing w:before="300" w:after="160"/>
      </w:pPr>
      <w:r>
        <w:rPr>
          <w:rFonts w:ascii="Calibri" w:eastAsia="Calibri" w:hAnsi="Calibri" w:cs="Calibri"/>
          <w:b/>
          <w:bCs/>
        </w:rPr>
        <w:t>3. Amount of Leave</w:t>
      </w:r>
    </w:p>
    <w:p w14:paraId="788D59CF" w14:textId="77777777" w:rsidR="0096294E" w:rsidRDefault="00FD65E7">
      <w:pPr>
        <w:spacing w:after="160"/>
      </w:pPr>
      <w:r>
        <w:rPr>
          <w:rFonts w:ascii="Calibri" w:eastAsia="Calibri" w:hAnsi="Calibri" w:cs="Calibri"/>
          <w:sz w:val="22"/>
          <w:szCs w:val="22"/>
        </w:rPr>
        <w:t xml:space="preserve">Eligible substitute employees are entitled to a minimum of five (5) days, or forty (40) hours, whichever is greater, of paid sick leave per year, in accordance with the front-loaded method authorized under Labor Code § 246. This is the state-mandated minimum;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may provide additional leave at its </w:t>
      </w:r>
      <w:proofErr w:type="gramStart"/>
      <w:r>
        <w:rPr>
          <w:rFonts w:ascii="Calibri" w:eastAsia="Calibri" w:hAnsi="Calibri" w:cs="Calibri"/>
          <w:sz w:val="22"/>
          <w:szCs w:val="22"/>
        </w:rPr>
        <w:t>discretion, but</w:t>
      </w:r>
      <w:proofErr w:type="gramEnd"/>
      <w:r>
        <w:rPr>
          <w:rFonts w:ascii="Calibri" w:eastAsia="Calibri" w:hAnsi="Calibri" w:cs="Calibri"/>
          <w:sz w:val="22"/>
          <w:szCs w:val="22"/>
        </w:rPr>
        <w:t xml:space="preserve"> may not provide less.</w:t>
      </w:r>
    </w:p>
    <w:p w14:paraId="61BB4A24" w14:textId="77777777" w:rsidR="0096294E" w:rsidRDefault="00FD65E7">
      <w:pPr>
        <w:spacing w:after="160"/>
      </w:pPr>
      <w:r>
        <w:rPr>
          <w:rFonts w:ascii="Calibri" w:eastAsia="Calibri" w:hAnsi="Calibri" w:cs="Calibri"/>
          <w:sz w:val="22"/>
          <w:szCs w:val="22"/>
        </w:rPr>
        <w:t xml:space="preserve">Unused sick leave under this policy carries over consistent with the </w:t>
      </w:r>
      <w:proofErr w:type="gramStart"/>
      <w:r>
        <w:rPr>
          <w:rFonts w:ascii="Calibri" w:eastAsia="Calibri" w:hAnsi="Calibri" w:cs="Calibri"/>
          <w:sz w:val="22"/>
          <w:szCs w:val="22"/>
        </w:rPr>
        <w:t>District's</w:t>
      </w:r>
      <w:proofErr w:type="gramEnd"/>
      <w:r>
        <w:rPr>
          <w:rFonts w:ascii="Calibri" w:eastAsia="Calibri" w:hAnsi="Calibri" w:cs="Calibri"/>
          <w:sz w:val="22"/>
          <w:szCs w:val="22"/>
        </w:rPr>
        <w:t xml:space="preserve"> chosen accrual/front-load method and applicable law.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is not required to pay out unused, accrued sick leave upon separation of employment.</w:t>
      </w:r>
    </w:p>
    <w:p w14:paraId="69182F4D" w14:textId="77777777" w:rsidR="0096294E" w:rsidRDefault="00FD65E7">
      <w:pPr>
        <w:spacing w:after="160"/>
      </w:pPr>
      <w:r>
        <w:rPr>
          <w:rFonts w:ascii="Calibri" w:eastAsia="Calibri" w:hAnsi="Calibri" w:cs="Calibri"/>
          <w:sz w:val="22"/>
          <w:szCs w:val="22"/>
        </w:rPr>
        <w:t>An employee who chooses to roll over unused, accrued sick leave from one year to the next may accrue and carry over such leave up to a maximum bank of eighty (80) hours (or ten (10) days, whichever is greater), consistent with the accrual cap permitted under Labor Code § 246(j). Once an employee's accrued, unused sick leave balance reaches this cap, the employee will stop accruing additional sick leave until the balance falls below the cap through use. This accrual/carryover cap is separate from, and does not reduce, the five (5) day / forty (40) hour annual use limit described in Section 6.</w:t>
      </w:r>
    </w:p>
    <w:p w14:paraId="5FDB9036" w14:textId="77777777" w:rsidR="0096294E" w:rsidRDefault="00FD65E7">
      <w:pPr>
        <w:pStyle w:val="Heading1"/>
        <w:spacing w:before="300" w:after="160"/>
      </w:pPr>
      <w:r>
        <w:rPr>
          <w:rFonts w:ascii="Calibri" w:eastAsia="Calibri" w:hAnsi="Calibri" w:cs="Calibri"/>
          <w:b/>
          <w:bCs/>
        </w:rPr>
        <w:t>4. Requesting Leave</w:t>
      </w:r>
    </w:p>
    <w:p w14:paraId="05384F66" w14:textId="77777777" w:rsidR="0096294E" w:rsidRDefault="00FD65E7">
      <w:pPr>
        <w:spacing w:after="160"/>
      </w:pPr>
      <w:r>
        <w:rPr>
          <w:rFonts w:ascii="Calibri" w:eastAsia="Calibri" w:hAnsi="Calibri" w:cs="Calibri"/>
          <w:sz w:val="22"/>
          <w:szCs w:val="22"/>
        </w:rPr>
        <w:lastRenderedPageBreak/>
        <w:t xml:space="preserve">A substitute employee may request to use paid sick leave either orally or in writing (for example, by phone, email, text, or through the </w:t>
      </w:r>
      <w:proofErr w:type="gramStart"/>
      <w:r>
        <w:rPr>
          <w:rFonts w:ascii="Calibri" w:eastAsia="Calibri" w:hAnsi="Calibri" w:cs="Calibri"/>
          <w:sz w:val="22"/>
          <w:szCs w:val="22"/>
        </w:rPr>
        <w:t>District's</w:t>
      </w:r>
      <w:proofErr w:type="gramEnd"/>
      <w:r>
        <w:rPr>
          <w:rFonts w:ascii="Calibri" w:eastAsia="Calibri" w:hAnsi="Calibri" w:cs="Calibri"/>
          <w:sz w:val="22"/>
          <w:szCs w:val="22"/>
        </w:rPr>
        <w:t xml:space="preserve"> substitute-assignment system).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cannot require a written </w:t>
      </w:r>
      <w:proofErr w:type="gramStart"/>
      <w:r>
        <w:rPr>
          <w:rFonts w:ascii="Calibri" w:eastAsia="Calibri" w:hAnsi="Calibri" w:cs="Calibri"/>
          <w:sz w:val="22"/>
          <w:szCs w:val="22"/>
        </w:rPr>
        <w:t>request, and</w:t>
      </w:r>
      <w:proofErr w:type="gramEnd"/>
      <w:r>
        <w:rPr>
          <w:rFonts w:ascii="Calibri" w:eastAsia="Calibri" w:hAnsi="Calibri" w:cs="Calibri"/>
          <w:sz w:val="22"/>
          <w:szCs w:val="22"/>
        </w:rPr>
        <w:t xml:space="preserve"> cannot condition approval or payment of sick leave on receipt of a written request, as a matter of state law.</w:t>
      </w:r>
    </w:p>
    <w:p w14:paraId="5C4A9F1F" w14:textId="77777777" w:rsidR="0096294E" w:rsidRDefault="00FD65E7">
      <w:pPr>
        <w:spacing w:after="160"/>
      </w:pPr>
      <w:r>
        <w:rPr>
          <w:rFonts w:ascii="Calibri" w:eastAsia="Calibri" w:hAnsi="Calibri" w:cs="Calibri"/>
          <w:sz w:val="22"/>
          <w:szCs w:val="22"/>
        </w:rPr>
        <w:t xml:space="preserve">To help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process payment accurately and maintain required recordkeeping, the employee must additionally complete the District's Substitute Employee Sick Leave Request/Verification Form (“District Form”) as soon as reasonably possible, and no later than five (5) business days after the leave is taken. Completion of the District Form is an administrative recordkeeping requirement and is not a precondition to the employee's right to take or be compensated for sick leave that was properly requested orally or in writing.</w:t>
      </w:r>
    </w:p>
    <w:p w14:paraId="35C74267" w14:textId="77777777" w:rsidR="0096294E" w:rsidRDefault="00FD65E7">
      <w:pPr>
        <w:spacing w:after="160"/>
      </w:pPr>
      <w:r>
        <w:rPr>
          <w:rFonts w:ascii="Calibri" w:eastAsia="Calibri" w:hAnsi="Calibri" w:cs="Calibri"/>
          <w:sz w:val="22"/>
          <w:szCs w:val="22"/>
        </w:rPr>
        <w:t>Where the need for leave is foreseeable, the employee should provide reasonable advance notice. Where the need for leave is unforeseeable, the employee should provide notice as soon as practicable, which may include notice given on the day the leave begins.</w:t>
      </w:r>
    </w:p>
    <w:p w14:paraId="384B309A" w14:textId="77777777" w:rsidR="0096294E" w:rsidRDefault="00FD65E7">
      <w:pPr>
        <w:pStyle w:val="Heading1"/>
        <w:spacing w:before="300" w:after="160"/>
      </w:pPr>
      <w:r>
        <w:rPr>
          <w:rFonts w:ascii="Calibri" w:eastAsia="Calibri" w:hAnsi="Calibri" w:cs="Calibri"/>
          <w:b/>
          <w:bCs/>
        </w:rPr>
        <w:t>5. Documentation / Medical Certification</w:t>
      </w:r>
    </w:p>
    <w:p w14:paraId="37944CDA" w14:textId="77777777" w:rsidR="0096294E" w:rsidRDefault="00FD65E7">
      <w:pPr>
        <w:spacing w:after="160"/>
      </w:pPr>
      <w:r>
        <w:rPr>
          <w:rFonts w:ascii="Calibri" w:eastAsia="Calibri" w:hAnsi="Calibri" w:cs="Calibri"/>
          <w:sz w:val="22"/>
          <w:szCs w:val="22"/>
        </w:rPr>
        <w:t xml:space="preserve">Consistent with state law,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will not require a doctor's note or other medical certification as a condition of approving or paying sick leave for absences of one or two days.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may request reasonable documentation to support an absence of three (3) or more consecutive days, or where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has a reasonable, good-faith basis to question the validity of the leave, but such a request will not delay payment of leave properly requested and reported on the District Form.</w:t>
      </w:r>
    </w:p>
    <w:p w14:paraId="4F5516EB" w14:textId="77777777" w:rsidR="0096294E" w:rsidRDefault="00FD65E7">
      <w:pPr>
        <w:pStyle w:val="Heading1"/>
        <w:spacing w:before="300" w:after="160"/>
      </w:pPr>
      <w:r>
        <w:rPr>
          <w:rFonts w:ascii="Calibri" w:eastAsia="Calibri" w:hAnsi="Calibri" w:cs="Calibri"/>
          <w:b/>
          <w:bCs/>
        </w:rPr>
        <w:t>6. Annual Cap</w:t>
      </w:r>
    </w:p>
    <w:p w14:paraId="0E5D1967" w14:textId="77777777" w:rsidR="0096294E" w:rsidRDefault="00FD65E7">
      <w:pPr>
        <w:spacing w:after="160"/>
      </w:pPr>
      <w:r>
        <w:rPr>
          <w:rFonts w:ascii="Calibri" w:eastAsia="Calibri" w:hAnsi="Calibri" w:cs="Calibri"/>
          <w:sz w:val="22"/>
          <w:szCs w:val="22"/>
        </w:rPr>
        <w:t xml:space="preserve">Consistent with Section 3, use of paid sick leave under this policy is capped at five (5) days, or forty (40) hours, per year, whichever is greater, unless the </w:t>
      </w:r>
      <w:proofErr w:type="gramStart"/>
      <w:r>
        <w:rPr>
          <w:rFonts w:ascii="Calibri" w:eastAsia="Calibri" w:hAnsi="Calibri" w:cs="Calibri"/>
          <w:sz w:val="22"/>
          <w:szCs w:val="22"/>
        </w:rPr>
        <w:t>District's</w:t>
      </w:r>
      <w:proofErr w:type="gramEnd"/>
      <w:r>
        <w:rPr>
          <w:rFonts w:ascii="Calibri" w:eastAsia="Calibri" w:hAnsi="Calibri" w:cs="Calibri"/>
          <w:sz w:val="22"/>
          <w:szCs w:val="22"/>
        </w:rPr>
        <w:t xml:space="preserve"> applicable collective bargaining agreement, handbook, or Board action provides for a higher limit. Nothing in this policy authorizes 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to provide less than the statutory minimum.</w:t>
      </w:r>
    </w:p>
    <w:p w14:paraId="24A44AB4" w14:textId="77777777" w:rsidR="0096294E" w:rsidRDefault="00FD65E7">
      <w:pPr>
        <w:pStyle w:val="Heading1"/>
        <w:spacing w:before="300" w:after="160"/>
      </w:pPr>
      <w:r>
        <w:rPr>
          <w:rFonts w:ascii="Calibri" w:eastAsia="Calibri" w:hAnsi="Calibri" w:cs="Calibri"/>
          <w:b/>
          <w:bCs/>
        </w:rPr>
        <w:t>7. Permitted Uses</w:t>
      </w:r>
    </w:p>
    <w:p w14:paraId="4DD29D67" w14:textId="77777777" w:rsidR="0096294E" w:rsidRDefault="00FD65E7">
      <w:pPr>
        <w:spacing w:after="160"/>
      </w:pPr>
      <w:r>
        <w:rPr>
          <w:rFonts w:ascii="Calibri" w:eastAsia="Calibri" w:hAnsi="Calibri" w:cs="Calibri"/>
          <w:sz w:val="22"/>
          <w:szCs w:val="22"/>
        </w:rPr>
        <w:t>Paid sick leave under this policy may be used for the substitute employee's own preventive care, or diagnosis, care, or treatment of an existing health condition, or for the same purposes on behalf of a family member or designated person, and for the additional statutory purposes recognized under the HWHFA (including specified safe-time and judicial-proceeding purposes), as they may be amended from time to time.</w:t>
      </w:r>
    </w:p>
    <w:p w14:paraId="23ED533C" w14:textId="77777777" w:rsidR="0096294E" w:rsidRDefault="00FD65E7">
      <w:pPr>
        <w:pStyle w:val="Heading1"/>
        <w:spacing w:before="300" w:after="160"/>
      </w:pPr>
      <w:r>
        <w:rPr>
          <w:rFonts w:ascii="Calibri" w:eastAsia="Calibri" w:hAnsi="Calibri" w:cs="Calibri"/>
          <w:b/>
          <w:bCs/>
        </w:rPr>
        <w:t>8. Non-Retaliation</w:t>
      </w:r>
    </w:p>
    <w:p w14:paraId="629EDDF7" w14:textId="77777777" w:rsidR="0096294E" w:rsidRDefault="00FD65E7">
      <w:pPr>
        <w:spacing w:after="160"/>
      </w:pPr>
      <w:r>
        <w:rPr>
          <w:rFonts w:ascii="Calibri" w:eastAsia="Calibri" w:hAnsi="Calibri" w:cs="Calibri"/>
          <w:sz w:val="22"/>
          <w:szCs w:val="22"/>
        </w:rPr>
        <w:t xml:space="preserve">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will not deny, discourage, or retaliate against a substitute employee for requesting or using paid sick leave in accordance with this policy and applicable law.</w:t>
      </w:r>
    </w:p>
    <w:p w14:paraId="03B63D47" w14:textId="77777777" w:rsidR="0096294E" w:rsidRDefault="00FD65E7">
      <w:pPr>
        <w:pStyle w:val="Heading1"/>
        <w:spacing w:before="300" w:after="160"/>
      </w:pPr>
      <w:r>
        <w:rPr>
          <w:rFonts w:ascii="Calibri" w:eastAsia="Calibri" w:hAnsi="Calibri" w:cs="Calibri"/>
          <w:b/>
          <w:bCs/>
        </w:rPr>
        <w:t>9. Recordkeeping</w:t>
      </w:r>
    </w:p>
    <w:p w14:paraId="01597988" w14:textId="77777777" w:rsidR="0096294E" w:rsidRDefault="00FD65E7">
      <w:pPr>
        <w:spacing w:after="160"/>
      </w:pPr>
      <w:r>
        <w:rPr>
          <w:rFonts w:ascii="Calibri" w:eastAsia="Calibri" w:hAnsi="Calibri" w:cs="Calibri"/>
          <w:sz w:val="22"/>
          <w:szCs w:val="22"/>
        </w:rPr>
        <w:t xml:space="preserve">The </w:t>
      </w:r>
      <w:proofErr w:type="gramStart"/>
      <w:r>
        <w:rPr>
          <w:rFonts w:ascii="Calibri" w:eastAsia="Calibri" w:hAnsi="Calibri" w:cs="Calibri"/>
          <w:sz w:val="22"/>
          <w:szCs w:val="22"/>
        </w:rPr>
        <w:t>District</w:t>
      </w:r>
      <w:proofErr w:type="gramEnd"/>
      <w:r>
        <w:rPr>
          <w:rFonts w:ascii="Calibri" w:eastAsia="Calibri" w:hAnsi="Calibri" w:cs="Calibri"/>
          <w:sz w:val="22"/>
          <w:szCs w:val="22"/>
        </w:rPr>
        <w:t xml:space="preserve"> will maintain records of hours worked and paid sick leave accrued and used by each substitute employee for at least three </w:t>
      </w:r>
      <w:proofErr w:type="gramStart"/>
      <w:r>
        <w:rPr>
          <w:rFonts w:ascii="Calibri" w:eastAsia="Calibri" w:hAnsi="Calibri" w:cs="Calibri"/>
          <w:sz w:val="22"/>
          <w:szCs w:val="22"/>
        </w:rPr>
        <w:t>years, and</w:t>
      </w:r>
      <w:proofErr w:type="gramEnd"/>
      <w:r>
        <w:rPr>
          <w:rFonts w:ascii="Calibri" w:eastAsia="Calibri" w:hAnsi="Calibri" w:cs="Calibri"/>
          <w:sz w:val="22"/>
          <w:szCs w:val="22"/>
        </w:rPr>
        <w:t xml:space="preserve"> will provide notice of available paid sick leave balances on the employee's pay stub or an accompanying document with each payment of wages.</w:t>
      </w:r>
    </w:p>
    <w:p w14:paraId="6097F460" w14:textId="77777777" w:rsidR="0096294E" w:rsidRDefault="00FD65E7">
      <w:pPr>
        <w:pStyle w:val="Heading1"/>
        <w:spacing w:before="300" w:after="160"/>
      </w:pPr>
      <w:r>
        <w:rPr>
          <w:rFonts w:ascii="Calibri" w:eastAsia="Calibri" w:hAnsi="Calibri" w:cs="Calibri"/>
          <w:b/>
          <w:bCs/>
        </w:rPr>
        <w:lastRenderedPageBreak/>
        <w:t>10. Administration</w:t>
      </w:r>
    </w:p>
    <w:p w14:paraId="4086F9E4" w14:textId="77777777" w:rsidR="0096294E" w:rsidRDefault="00FD65E7">
      <w:pPr>
        <w:spacing w:after="160"/>
      </w:pPr>
      <w:r>
        <w:rPr>
          <w:rFonts w:ascii="Calibri" w:eastAsia="Calibri" w:hAnsi="Calibri" w:cs="Calibri"/>
          <w:sz w:val="22"/>
          <w:szCs w:val="22"/>
        </w:rPr>
        <w:t xml:space="preserve">The Superintendent or </w:t>
      </w:r>
      <w:proofErr w:type="gramStart"/>
      <w:r>
        <w:rPr>
          <w:rFonts w:ascii="Calibri" w:eastAsia="Calibri" w:hAnsi="Calibri" w:cs="Calibri"/>
          <w:sz w:val="22"/>
          <w:szCs w:val="22"/>
        </w:rPr>
        <w:t>designee</w:t>
      </w:r>
      <w:proofErr w:type="gramEnd"/>
      <w:r>
        <w:rPr>
          <w:rFonts w:ascii="Calibri" w:eastAsia="Calibri" w:hAnsi="Calibri" w:cs="Calibri"/>
          <w:sz w:val="22"/>
          <w:szCs w:val="22"/>
        </w:rPr>
        <w:t xml:space="preserve"> is authorized to develop administrative forms and procedures, including the District Form referenced in Section 4, necessary to implement this policy, provided such forms and procedures remain consistent with this policy and with applicable law.</w:t>
      </w:r>
    </w:p>
    <w:p w14:paraId="152D7E2A" w14:textId="1754DBF1" w:rsidR="0096294E" w:rsidRDefault="00FD65E7">
      <w:pPr>
        <w:pBdr>
          <w:top w:val="single" w:sz="6" w:space="4" w:color="999999"/>
        </w:pBdr>
        <w:spacing w:before="400" w:after="60"/>
      </w:pPr>
      <w:r>
        <w:rPr>
          <w:rFonts w:ascii="Calibri" w:eastAsia="Calibri" w:hAnsi="Calibri" w:cs="Calibri"/>
          <w:b/>
          <w:bCs/>
        </w:rPr>
        <w:t xml:space="preserve">Adopted: </w:t>
      </w:r>
      <w:r w:rsidR="00BF5786">
        <w:rPr>
          <w:rFonts w:ascii="Calibri" w:eastAsia="Calibri" w:hAnsi="Calibri" w:cs="Calibri"/>
        </w:rPr>
        <w:t>8/20/2026</w:t>
      </w:r>
      <w:r>
        <w:rPr>
          <w:rFonts w:ascii="Calibri" w:eastAsia="Calibri" w:hAnsi="Calibri" w:cs="Calibri"/>
          <w:b/>
          <w:bCs/>
        </w:rPr>
        <w:t xml:space="preserve">   </w:t>
      </w:r>
    </w:p>
    <w:p w14:paraId="0D4DDF09" w14:textId="77777777" w:rsidR="0096294E" w:rsidRDefault="00FD65E7">
      <w:pPr>
        <w:spacing w:before="60" w:after="200"/>
      </w:pPr>
      <w:r>
        <w:rPr>
          <w:rFonts w:ascii="Calibri" w:eastAsia="Calibri" w:hAnsi="Calibri" w:cs="Calibri"/>
          <w:i/>
          <w:iCs/>
          <w:color w:val="555555"/>
          <w:sz w:val="18"/>
          <w:szCs w:val="18"/>
        </w:rPr>
        <w:t>Wheatland School District, Yuba County, California</w:t>
      </w:r>
    </w:p>
    <w:p w14:paraId="7F722492" w14:textId="2D867C20" w:rsidR="0096294E" w:rsidRDefault="0096294E">
      <w:pPr>
        <w:spacing w:before="200"/>
      </w:pPr>
    </w:p>
    <w:sectPr w:rsidR="0096294E">
      <w:pgSz w:w="12240" w:h="15840"/>
      <w:pgMar w:top="1080" w:right="1350" w:bottom="1080" w:left="13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76CAD"/>
    <w:multiLevelType w:val="hybridMultilevel"/>
    <w:tmpl w:val="134C8CA6"/>
    <w:lvl w:ilvl="0" w:tplc="33605FB0">
      <w:start w:val="1"/>
      <w:numFmt w:val="bullet"/>
      <w:lvlText w:val="●"/>
      <w:lvlJc w:val="left"/>
      <w:pPr>
        <w:ind w:left="720" w:hanging="360"/>
      </w:pPr>
    </w:lvl>
    <w:lvl w:ilvl="1" w:tplc="39D653C6">
      <w:start w:val="1"/>
      <w:numFmt w:val="bullet"/>
      <w:lvlText w:val="○"/>
      <w:lvlJc w:val="left"/>
      <w:pPr>
        <w:ind w:left="1440" w:hanging="360"/>
      </w:pPr>
    </w:lvl>
    <w:lvl w:ilvl="2" w:tplc="6D106B96">
      <w:start w:val="1"/>
      <w:numFmt w:val="bullet"/>
      <w:lvlText w:val="■"/>
      <w:lvlJc w:val="left"/>
      <w:pPr>
        <w:ind w:left="2160" w:hanging="360"/>
      </w:pPr>
    </w:lvl>
    <w:lvl w:ilvl="3" w:tplc="D1DEA978">
      <w:start w:val="1"/>
      <w:numFmt w:val="bullet"/>
      <w:lvlText w:val="●"/>
      <w:lvlJc w:val="left"/>
      <w:pPr>
        <w:ind w:left="2880" w:hanging="360"/>
      </w:pPr>
    </w:lvl>
    <w:lvl w:ilvl="4" w:tplc="016CCD06">
      <w:start w:val="1"/>
      <w:numFmt w:val="bullet"/>
      <w:lvlText w:val="○"/>
      <w:lvlJc w:val="left"/>
      <w:pPr>
        <w:ind w:left="3600" w:hanging="360"/>
      </w:pPr>
    </w:lvl>
    <w:lvl w:ilvl="5" w:tplc="EF72787E">
      <w:start w:val="1"/>
      <w:numFmt w:val="bullet"/>
      <w:lvlText w:val="■"/>
      <w:lvlJc w:val="left"/>
      <w:pPr>
        <w:ind w:left="4320" w:hanging="360"/>
      </w:pPr>
    </w:lvl>
    <w:lvl w:ilvl="6" w:tplc="13587086">
      <w:start w:val="1"/>
      <w:numFmt w:val="bullet"/>
      <w:lvlText w:val="●"/>
      <w:lvlJc w:val="left"/>
      <w:pPr>
        <w:ind w:left="5040" w:hanging="360"/>
      </w:pPr>
    </w:lvl>
    <w:lvl w:ilvl="7" w:tplc="431E35B8">
      <w:start w:val="1"/>
      <w:numFmt w:val="bullet"/>
      <w:lvlText w:val="●"/>
      <w:lvlJc w:val="left"/>
      <w:pPr>
        <w:ind w:left="5760" w:hanging="360"/>
      </w:pPr>
    </w:lvl>
    <w:lvl w:ilvl="8" w:tplc="5192D594">
      <w:start w:val="1"/>
      <w:numFmt w:val="bullet"/>
      <w:lvlText w:val="●"/>
      <w:lvlJc w:val="left"/>
      <w:pPr>
        <w:ind w:left="6480" w:hanging="360"/>
      </w:pPr>
    </w:lvl>
  </w:abstractNum>
  <w:abstractNum w:abstractNumId="1" w15:restartNumberingAfterBreak="0">
    <w:nsid w:val="6D3D09B0"/>
    <w:multiLevelType w:val="hybridMultilevel"/>
    <w:tmpl w:val="9AC62E78"/>
    <w:lvl w:ilvl="0" w:tplc="2DD83D34">
      <w:start w:val="1"/>
      <w:numFmt w:val="bullet"/>
      <w:lvlText w:val="•"/>
      <w:lvlJc w:val="left"/>
      <w:pPr>
        <w:ind w:left="504" w:hanging="288"/>
      </w:pPr>
    </w:lvl>
    <w:lvl w:ilvl="1" w:tplc="4592654C">
      <w:numFmt w:val="decimal"/>
      <w:lvlText w:val=""/>
      <w:lvlJc w:val="left"/>
    </w:lvl>
    <w:lvl w:ilvl="2" w:tplc="6F0A6EB4">
      <w:numFmt w:val="decimal"/>
      <w:lvlText w:val=""/>
      <w:lvlJc w:val="left"/>
    </w:lvl>
    <w:lvl w:ilvl="3" w:tplc="80D62722">
      <w:numFmt w:val="decimal"/>
      <w:lvlText w:val=""/>
      <w:lvlJc w:val="left"/>
    </w:lvl>
    <w:lvl w:ilvl="4" w:tplc="A9F0C6A0">
      <w:numFmt w:val="decimal"/>
      <w:lvlText w:val=""/>
      <w:lvlJc w:val="left"/>
    </w:lvl>
    <w:lvl w:ilvl="5" w:tplc="771AA6C8">
      <w:numFmt w:val="decimal"/>
      <w:lvlText w:val=""/>
      <w:lvlJc w:val="left"/>
    </w:lvl>
    <w:lvl w:ilvl="6" w:tplc="C0A8A880">
      <w:numFmt w:val="decimal"/>
      <w:lvlText w:val=""/>
      <w:lvlJc w:val="left"/>
    </w:lvl>
    <w:lvl w:ilvl="7" w:tplc="A52AD232">
      <w:numFmt w:val="decimal"/>
      <w:lvlText w:val=""/>
      <w:lvlJc w:val="left"/>
    </w:lvl>
    <w:lvl w:ilvl="8" w:tplc="84949F5A">
      <w:numFmt w:val="decimal"/>
      <w:lvlText w:val=""/>
      <w:lvlJc w:val="left"/>
    </w:lvl>
  </w:abstractNum>
  <w:num w:numId="1" w16cid:durableId="745566018">
    <w:abstractNumId w:val="0"/>
    <w:lvlOverride w:ilvl="0">
      <w:startOverride w:val="1"/>
    </w:lvlOverride>
  </w:num>
  <w:num w:numId="2" w16cid:durableId="206132556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94E"/>
    <w:rsid w:val="00882FC3"/>
    <w:rsid w:val="008C0BB4"/>
    <w:rsid w:val="0096294E"/>
    <w:rsid w:val="00B34EC6"/>
    <w:rsid w:val="00BF5786"/>
    <w:rsid w:val="00FD6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2E337"/>
  <w15:docId w15:val="{0B9CC77C-BF90-4460-B55E-BA71C46B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Gouker, Angela</cp:lastModifiedBy>
  <cp:revision>3</cp:revision>
  <dcterms:created xsi:type="dcterms:W3CDTF">2026-07-14T21:07:00Z</dcterms:created>
  <dcterms:modified xsi:type="dcterms:W3CDTF">2026-08-25T00:04:00Z</dcterms:modified>
</cp:coreProperties>
</file>